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98" w:rsidRPr="009C6903" w:rsidRDefault="00D81C98" w:rsidP="00D81C98">
      <w:pPr>
        <w:pStyle w:val="2"/>
        <w:numPr>
          <w:ilvl w:val="0"/>
          <w:numId w:val="0"/>
        </w:numPr>
        <w:spacing w:line="560" w:lineRule="exact"/>
        <w:ind w:left="576" w:hanging="576"/>
        <w:rPr>
          <w:rFonts w:ascii="黑体" w:hAnsi="黑体" w:cs="楷体_GB2312"/>
          <w:bCs/>
          <w:sz w:val="32"/>
        </w:rPr>
      </w:pPr>
      <w:r w:rsidRPr="009C6903">
        <w:rPr>
          <w:rFonts w:ascii="黑体" w:hAnsi="黑体" w:cs="楷体_GB2312" w:hint="eastAsia"/>
          <w:bCs/>
          <w:sz w:val="32"/>
        </w:rPr>
        <w:t>附件2</w:t>
      </w:r>
    </w:p>
    <w:p w:rsidR="00D81C98" w:rsidRPr="00B150F2" w:rsidRDefault="00D81C98" w:rsidP="00D81C98">
      <w:pPr>
        <w:pStyle w:val="2"/>
        <w:numPr>
          <w:ilvl w:val="0"/>
          <w:numId w:val="0"/>
        </w:numPr>
        <w:spacing w:line="560" w:lineRule="exact"/>
        <w:jc w:val="center"/>
        <w:rPr>
          <w:rFonts w:ascii="楷体_GB2312" w:eastAsia="楷体_GB2312" w:hAnsi="楷体_GB2312" w:cs="楷体_GB2312"/>
          <w:b/>
          <w:bCs/>
          <w:sz w:val="32"/>
        </w:rPr>
      </w:pPr>
      <w:r w:rsidRPr="00B150F2">
        <w:rPr>
          <w:rFonts w:ascii="楷体_GB2312" w:eastAsia="楷体_GB2312" w:hAnsi="楷体_GB2312" w:cs="楷体_GB2312" w:hint="eastAsia"/>
          <w:b/>
          <w:bCs/>
          <w:sz w:val="32"/>
        </w:rPr>
        <w:t>信息系统</w:t>
      </w:r>
      <w:r>
        <w:rPr>
          <w:rFonts w:ascii="楷体_GB2312" w:eastAsia="楷体_GB2312" w:hAnsi="楷体_GB2312" w:cs="楷体_GB2312" w:hint="eastAsia"/>
          <w:b/>
          <w:bCs/>
          <w:sz w:val="32"/>
        </w:rPr>
        <w:t>安全保护等级</w:t>
      </w:r>
      <w:r w:rsidRPr="00B150F2">
        <w:rPr>
          <w:rFonts w:ascii="楷体_GB2312" w:eastAsia="楷体_GB2312" w:hAnsi="楷体_GB2312" w:cs="楷体_GB2312" w:hint="eastAsia"/>
          <w:b/>
          <w:bCs/>
          <w:sz w:val="32"/>
        </w:rPr>
        <w:t>建议表</w:t>
      </w:r>
    </w:p>
    <w:p w:rsidR="00D81C98" w:rsidRPr="001D59D3" w:rsidRDefault="00D81C98" w:rsidP="00D81C98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D81C98" w:rsidRPr="009C6903" w:rsidRDefault="00D81C98" w:rsidP="00D81C98">
      <w:pPr>
        <w:spacing w:line="5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C6903">
        <w:rPr>
          <w:rFonts w:asciiTheme="minorEastAsia" w:eastAsiaTheme="minorEastAsia" w:hAnsiTheme="minorEastAsia" w:hint="eastAsia"/>
          <w:sz w:val="32"/>
          <w:szCs w:val="32"/>
        </w:rPr>
        <w:t>表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 w:rsidRPr="009C6903">
        <w:rPr>
          <w:rFonts w:asciiTheme="minorEastAsia" w:eastAsiaTheme="minorEastAsia" w:hAnsiTheme="minorEastAsia" w:hint="eastAsia"/>
          <w:sz w:val="32"/>
          <w:szCs w:val="32"/>
        </w:rPr>
        <w:t>：部门信息系统</w:t>
      </w:r>
      <w:r>
        <w:rPr>
          <w:rFonts w:asciiTheme="minorEastAsia" w:eastAsiaTheme="minorEastAsia" w:hAnsiTheme="minorEastAsia" w:hint="eastAsia"/>
          <w:sz w:val="32"/>
          <w:szCs w:val="32"/>
        </w:rPr>
        <w:t>安全</w:t>
      </w:r>
      <w:r w:rsidRPr="009C6903">
        <w:rPr>
          <w:rFonts w:asciiTheme="minorEastAsia" w:eastAsiaTheme="minorEastAsia" w:hAnsiTheme="minorEastAsia" w:hint="eastAsia"/>
          <w:sz w:val="32"/>
          <w:szCs w:val="32"/>
        </w:rPr>
        <w:t>保护等级建议</w:t>
      </w:r>
    </w:p>
    <w:p w:rsidR="00D81C98" w:rsidRPr="009C6903" w:rsidRDefault="00D81C98" w:rsidP="00D81C9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"/>
        <w:gridCol w:w="1560"/>
        <w:gridCol w:w="3270"/>
        <w:gridCol w:w="1225"/>
        <w:gridCol w:w="1317"/>
        <w:gridCol w:w="1545"/>
      </w:tblGrid>
      <w:tr w:rsidR="00D81C98" w:rsidTr="0067086F">
        <w:trPr>
          <w:trHeight w:val="439"/>
          <w:tblHeader/>
          <w:jc w:val="center"/>
        </w:trPr>
        <w:tc>
          <w:tcPr>
            <w:tcW w:w="505" w:type="dxa"/>
            <w:vMerge w:val="restart"/>
            <w:shd w:val="clear" w:color="000000" w:fill="C0C0C0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vMerge w:val="restart"/>
            <w:shd w:val="clear" w:color="000000" w:fill="C0C0C0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分类</w:t>
            </w:r>
          </w:p>
        </w:tc>
        <w:tc>
          <w:tcPr>
            <w:tcW w:w="3270" w:type="dxa"/>
            <w:vMerge w:val="restart"/>
            <w:shd w:val="clear" w:color="000000" w:fill="C0C0C0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信息系统</w:t>
            </w:r>
          </w:p>
        </w:tc>
        <w:tc>
          <w:tcPr>
            <w:tcW w:w="4087" w:type="dxa"/>
            <w:gridSpan w:val="3"/>
            <w:shd w:val="clear" w:color="000000" w:fill="C0C0C0"/>
            <w:vAlign w:val="center"/>
          </w:tcPr>
          <w:p w:rsidR="00D81C98" w:rsidRDefault="00D81C98" w:rsidP="0067086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建议安全保护等级</w:t>
            </w:r>
          </w:p>
        </w:tc>
      </w:tr>
      <w:tr w:rsidR="00D81C98" w:rsidTr="0067086F">
        <w:trPr>
          <w:trHeight w:val="488"/>
          <w:tblHeader/>
          <w:jc w:val="center"/>
        </w:trPr>
        <w:tc>
          <w:tcPr>
            <w:tcW w:w="505" w:type="dxa"/>
            <w:vMerge/>
            <w:shd w:val="clear" w:color="000000" w:fill="C0C0C0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/>
            <w:shd w:val="clear" w:color="000000" w:fill="C0C0C0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270" w:type="dxa"/>
            <w:vMerge/>
            <w:shd w:val="clear" w:color="000000" w:fill="C0C0C0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25" w:type="dxa"/>
            <w:shd w:val="clear" w:color="000000" w:fill="C0C0C0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部级</w:t>
            </w:r>
          </w:p>
        </w:tc>
        <w:tc>
          <w:tcPr>
            <w:tcW w:w="1317" w:type="dxa"/>
            <w:shd w:val="clear" w:color="000000" w:fill="C0C0C0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省级</w:t>
            </w:r>
          </w:p>
        </w:tc>
        <w:tc>
          <w:tcPr>
            <w:tcW w:w="1545" w:type="dxa"/>
            <w:shd w:val="clear" w:color="000000" w:fill="C0C0C0"/>
            <w:vAlign w:val="center"/>
          </w:tcPr>
          <w:p w:rsidR="00D81C98" w:rsidRDefault="00D81C98" w:rsidP="0067086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地市</w:t>
            </w:r>
          </w:p>
        </w:tc>
      </w:tr>
      <w:tr w:rsidR="00D81C98" w:rsidTr="0067086F">
        <w:trPr>
          <w:trHeight w:val="547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01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政务管理类</w:t>
            </w: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z w:val="24"/>
              </w:rPr>
              <w:t>办公与事务处理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公文与信息交换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(03)</w:t>
            </w:r>
            <w:r>
              <w:rPr>
                <w:sz w:val="24"/>
              </w:rPr>
              <w:t>人事管理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(04)</w:t>
            </w:r>
            <w:r>
              <w:rPr>
                <w:sz w:val="24"/>
              </w:rPr>
              <w:t>财务管理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(05)</w:t>
            </w:r>
            <w:r>
              <w:rPr>
                <w:sz w:val="24"/>
              </w:rPr>
              <w:t>资产管理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(06)</w:t>
            </w:r>
            <w:r>
              <w:rPr>
                <w:sz w:val="24"/>
              </w:rPr>
              <w:t>信访管理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(07)</w:t>
            </w:r>
            <w:r>
              <w:rPr>
                <w:sz w:val="24"/>
              </w:rPr>
              <w:t>档案管理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(08)</w:t>
            </w:r>
            <w:r>
              <w:rPr>
                <w:sz w:val="24"/>
              </w:rPr>
              <w:t>党务管理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55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(09)</w:t>
            </w:r>
            <w:r>
              <w:rPr>
                <w:sz w:val="24"/>
              </w:rPr>
              <w:t>科研管理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(10)</w:t>
            </w:r>
            <w:r>
              <w:rPr>
                <w:sz w:val="24"/>
              </w:rPr>
              <w:t>教育统计管理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(11)</w:t>
            </w:r>
            <w:r>
              <w:rPr>
                <w:sz w:val="24"/>
              </w:rPr>
              <w:t>决策支持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(12)</w:t>
            </w:r>
            <w:r>
              <w:rPr>
                <w:sz w:val="24"/>
              </w:rPr>
              <w:t>应急指挥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485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(13)</w:t>
            </w:r>
            <w:r>
              <w:rPr>
                <w:sz w:val="24"/>
              </w:rPr>
              <w:t>舆情监测与管理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(14)</w:t>
            </w:r>
            <w:r>
              <w:rPr>
                <w:sz w:val="24"/>
              </w:rPr>
              <w:t>高等教育招生计划管理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(15</w:t>
            </w:r>
            <w:r>
              <w:rPr>
                <w:sz w:val="24"/>
              </w:rPr>
              <w:t>）普通高校招生网上录取管理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(16)</w:t>
            </w:r>
            <w:r>
              <w:rPr>
                <w:sz w:val="24"/>
              </w:rPr>
              <w:t>教育考试考务管理与服务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(17)</w:t>
            </w:r>
            <w:r>
              <w:rPr>
                <w:rFonts w:hint="eastAsia"/>
                <w:sz w:val="24"/>
              </w:rPr>
              <w:t>评审、</w:t>
            </w:r>
            <w:r>
              <w:rPr>
                <w:sz w:val="24"/>
              </w:rPr>
              <w:t>表彰</w:t>
            </w:r>
            <w:r>
              <w:rPr>
                <w:rFonts w:hint="eastAsia"/>
                <w:sz w:val="24"/>
              </w:rPr>
              <w:t>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02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学校管理类</w:t>
            </w: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z w:val="24"/>
              </w:rPr>
              <w:t>学校管理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85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学科、专业管理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624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(03)</w:t>
            </w:r>
            <w:r>
              <w:rPr>
                <w:sz w:val="24"/>
              </w:rPr>
              <w:t>教学改革管理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61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(04)</w:t>
            </w:r>
            <w:r>
              <w:rPr>
                <w:sz w:val="24"/>
              </w:rPr>
              <w:t>教学质量评估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622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(05)</w:t>
            </w:r>
            <w:r>
              <w:rPr>
                <w:sz w:val="24"/>
              </w:rPr>
              <w:t>校园安全与稳定管理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622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(06)</w:t>
            </w:r>
            <w:r>
              <w:rPr>
                <w:sz w:val="24"/>
              </w:rPr>
              <w:t>教育经费监管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03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学生管理类</w:t>
            </w: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z w:val="24"/>
              </w:rPr>
              <w:t>学生学籍管理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招生录取管理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(03)</w:t>
            </w:r>
            <w:r>
              <w:rPr>
                <w:sz w:val="24"/>
              </w:rPr>
              <w:t>学生资助管理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(04)</w:t>
            </w:r>
            <w:r>
              <w:rPr>
                <w:sz w:val="24"/>
              </w:rPr>
              <w:t>学位授予管理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04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教师管理类</w:t>
            </w: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教师基本信息</w:t>
            </w:r>
            <w:r>
              <w:rPr>
                <w:rFonts w:hint="eastAsia"/>
                <w:sz w:val="24"/>
              </w:rPr>
              <w:t>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教师资格认定管理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(03)</w:t>
            </w:r>
            <w:r>
              <w:rPr>
                <w:sz w:val="24"/>
              </w:rPr>
              <w:t>教师培训管理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04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教师</w:t>
            </w:r>
            <w:r>
              <w:rPr>
                <w:sz w:val="24"/>
              </w:rPr>
              <w:t>教育管理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05)</w:t>
            </w:r>
            <w:r>
              <w:rPr>
                <w:rFonts w:hint="eastAsia"/>
                <w:sz w:val="24"/>
              </w:rPr>
              <w:t>教师职称管理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综合服务类</w:t>
            </w: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z w:val="24"/>
              </w:rPr>
              <w:t>门户网站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论坛、社区类网站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419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(03)</w:t>
            </w:r>
            <w:r>
              <w:rPr>
                <w:sz w:val="24"/>
              </w:rPr>
              <w:t>教育教学资源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(04)</w:t>
            </w:r>
            <w:r>
              <w:rPr>
                <w:sz w:val="24"/>
              </w:rPr>
              <w:t>毕业、就业信息管理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(05)</w:t>
            </w:r>
            <w:r>
              <w:rPr>
                <w:sz w:val="24"/>
              </w:rPr>
              <w:t>电子邮件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(06)</w:t>
            </w:r>
            <w:r>
              <w:rPr>
                <w:sz w:val="24"/>
              </w:rPr>
              <w:t>视频服务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(07)</w:t>
            </w:r>
            <w:r>
              <w:rPr>
                <w:sz w:val="24"/>
              </w:rPr>
              <w:t>安防监控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(08)</w:t>
            </w:r>
            <w:r>
              <w:rPr>
                <w:sz w:val="24"/>
              </w:rPr>
              <w:t>内网门户与身份认证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(09)</w:t>
            </w:r>
            <w:r>
              <w:rPr>
                <w:sz w:val="24"/>
              </w:rPr>
              <w:t>公共数据库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  <w:tr w:rsidR="00D81C98" w:rsidTr="0067086F">
        <w:trPr>
          <w:trHeight w:val="540"/>
          <w:jc w:val="center"/>
        </w:trPr>
        <w:tc>
          <w:tcPr>
            <w:tcW w:w="505" w:type="dxa"/>
            <w:vAlign w:val="center"/>
          </w:tcPr>
          <w:p w:rsidR="00D81C98" w:rsidRDefault="00D81C98" w:rsidP="00D81C9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widowControl/>
              <w:spacing w:line="560" w:lineRule="exact"/>
              <w:rPr>
                <w:sz w:val="24"/>
              </w:rPr>
            </w:pPr>
          </w:p>
        </w:tc>
        <w:tc>
          <w:tcPr>
            <w:tcW w:w="3270" w:type="dxa"/>
            <w:vAlign w:val="center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(10)</w:t>
            </w:r>
            <w:r>
              <w:rPr>
                <w:sz w:val="24"/>
              </w:rPr>
              <w:t>运维管理</w:t>
            </w:r>
          </w:p>
        </w:tc>
        <w:tc>
          <w:tcPr>
            <w:tcW w:w="122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317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545" w:type="dxa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</w:tr>
    </w:tbl>
    <w:p w:rsidR="00D81C98" w:rsidRPr="00200271" w:rsidRDefault="00D81C98" w:rsidP="00D81C98">
      <w:pPr>
        <w:spacing w:line="560" w:lineRule="exact"/>
        <w:ind w:firstLineChars="150" w:firstLine="360"/>
        <w:rPr>
          <w:rFonts w:ascii="宋体" w:hAnsi="宋体" w:cs="宋体"/>
          <w:color w:val="000000"/>
          <w:sz w:val="24"/>
          <w:szCs w:val="24"/>
        </w:rPr>
      </w:pPr>
      <w:r w:rsidRPr="00200271">
        <w:rPr>
          <w:rFonts w:ascii="宋体" w:hAnsi="宋体" w:cs="宋体" w:hint="eastAsia"/>
          <w:color w:val="000000"/>
          <w:sz w:val="24"/>
          <w:szCs w:val="24"/>
        </w:rPr>
        <w:t>说明：区县级教育行政部门及直属事业单位的系统建议一般定为第一级，区县级统一运行系统根据业务重要性建议可定为第二级。本表中未单独列出。</w:t>
      </w:r>
    </w:p>
    <w:p w:rsidR="00D81C98" w:rsidRPr="00B150F2" w:rsidRDefault="00D81C98" w:rsidP="00D81C98">
      <w:pPr>
        <w:pStyle w:val="3"/>
        <w:numPr>
          <w:ilvl w:val="0"/>
          <w:numId w:val="0"/>
        </w:numPr>
        <w:spacing w:line="560" w:lineRule="exact"/>
        <w:rPr>
          <w:rFonts w:ascii="仿宋_GB2312" w:eastAsia="仿宋_GB2312" w:hAnsi="仿宋_GB2312" w:cs="仿宋_GB2312"/>
          <w:b w:val="0"/>
          <w:bCs w:val="0"/>
          <w:sz w:val="32"/>
        </w:rPr>
      </w:pPr>
    </w:p>
    <w:p w:rsidR="00D81C98" w:rsidRDefault="00D81C98" w:rsidP="00D81C98">
      <w:pPr>
        <w:spacing w:line="560" w:lineRule="exact"/>
        <w:ind w:firstLine="560"/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9C6903">
        <w:rPr>
          <w:rFonts w:asciiTheme="minorEastAsia" w:eastAsiaTheme="minorEastAsia" w:hAnsiTheme="minorEastAsia" w:cs="宋体" w:hint="eastAsia"/>
          <w:sz w:val="32"/>
          <w:szCs w:val="32"/>
        </w:rPr>
        <w:t>表</w:t>
      </w:r>
      <w:r>
        <w:rPr>
          <w:rFonts w:asciiTheme="minorEastAsia" w:eastAsiaTheme="minorEastAsia" w:hAnsiTheme="minorEastAsia" w:cs="宋体"/>
          <w:sz w:val="32"/>
          <w:szCs w:val="32"/>
        </w:rPr>
        <w:t>2</w:t>
      </w:r>
      <w:r w:rsidRPr="009C6903">
        <w:rPr>
          <w:rFonts w:asciiTheme="minorEastAsia" w:eastAsiaTheme="minorEastAsia" w:hAnsiTheme="minorEastAsia" w:cs="宋体" w:hint="eastAsia"/>
          <w:sz w:val="32"/>
          <w:szCs w:val="32"/>
        </w:rPr>
        <w:t>：学校信息系统</w:t>
      </w:r>
      <w:r>
        <w:rPr>
          <w:rFonts w:asciiTheme="minorEastAsia" w:eastAsiaTheme="minorEastAsia" w:hAnsiTheme="minorEastAsia" w:cs="宋体" w:hint="eastAsia"/>
          <w:sz w:val="32"/>
          <w:szCs w:val="32"/>
        </w:rPr>
        <w:t>安全</w:t>
      </w:r>
      <w:r w:rsidRPr="009C6903">
        <w:rPr>
          <w:rFonts w:asciiTheme="minorEastAsia" w:eastAsiaTheme="minorEastAsia" w:hAnsiTheme="minorEastAsia" w:cs="宋体" w:hint="eastAsia"/>
          <w:sz w:val="32"/>
          <w:szCs w:val="32"/>
        </w:rPr>
        <w:t>保护</w:t>
      </w:r>
      <w:bookmarkStart w:id="0" w:name="_GoBack"/>
      <w:bookmarkEnd w:id="0"/>
      <w:r w:rsidRPr="009C6903">
        <w:rPr>
          <w:rFonts w:asciiTheme="minorEastAsia" w:eastAsiaTheme="minorEastAsia" w:hAnsiTheme="minorEastAsia" w:cs="宋体" w:hint="eastAsia"/>
          <w:sz w:val="32"/>
          <w:szCs w:val="32"/>
        </w:rPr>
        <w:t>等级建议</w:t>
      </w:r>
    </w:p>
    <w:p w:rsidR="00D81C98" w:rsidRPr="009C6903" w:rsidRDefault="00D81C98" w:rsidP="00D81C98">
      <w:pPr>
        <w:spacing w:line="560" w:lineRule="exact"/>
        <w:ind w:firstLine="560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"/>
        <w:gridCol w:w="1560"/>
        <w:gridCol w:w="2954"/>
        <w:gridCol w:w="1582"/>
        <w:gridCol w:w="1275"/>
        <w:gridCol w:w="1439"/>
      </w:tblGrid>
      <w:tr w:rsidR="00D81C98" w:rsidTr="0067086F">
        <w:trPr>
          <w:trHeight w:val="416"/>
          <w:tblHeader/>
          <w:jc w:val="center"/>
        </w:trPr>
        <w:tc>
          <w:tcPr>
            <w:tcW w:w="473" w:type="dxa"/>
            <w:vMerge w:val="restart"/>
            <w:shd w:val="clear" w:color="auto" w:fill="CCCCCC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vMerge w:val="restart"/>
            <w:shd w:val="clear" w:color="auto" w:fill="CCCCCC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分类</w:t>
            </w:r>
          </w:p>
        </w:tc>
        <w:tc>
          <w:tcPr>
            <w:tcW w:w="2954" w:type="dxa"/>
            <w:vMerge w:val="restart"/>
            <w:shd w:val="clear" w:color="auto" w:fill="CCCCCC"/>
            <w:vAlign w:val="center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信息系统</w:t>
            </w:r>
          </w:p>
        </w:tc>
        <w:tc>
          <w:tcPr>
            <w:tcW w:w="4296" w:type="dxa"/>
            <w:gridSpan w:val="3"/>
            <w:shd w:val="clear" w:color="auto" w:fill="CCCCCC"/>
          </w:tcPr>
          <w:p w:rsidR="00D81C98" w:rsidRDefault="00D81C98" w:rsidP="0067086F">
            <w:pPr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建议安全保护等级</w:t>
            </w:r>
          </w:p>
        </w:tc>
      </w:tr>
      <w:tr w:rsidR="00D81C98" w:rsidTr="0067086F">
        <w:trPr>
          <w:trHeight w:val="465"/>
          <w:tblHeader/>
          <w:jc w:val="center"/>
        </w:trPr>
        <w:tc>
          <w:tcPr>
            <w:tcW w:w="473" w:type="dxa"/>
            <w:vMerge/>
            <w:shd w:val="clear" w:color="auto" w:fill="CCCCCC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/>
            <w:shd w:val="clear" w:color="auto" w:fill="CCCCCC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954" w:type="dxa"/>
            <w:vMerge/>
            <w:shd w:val="clear" w:color="auto" w:fill="CCCCCC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CCCCCC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z w:val="24"/>
              </w:rPr>
              <w:t>I</w:t>
            </w:r>
            <w:r>
              <w:rPr>
                <w:b/>
                <w:color w:val="000000"/>
                <w:sz w:val="24"/>
              </w:rPr>
              <w:t>类</w:t>
            </w:r>
            <w:r>
              <w:rPr>
                <w:rFonts w:hint="eastAsia"/>
                <w:b/>
                <w:color w:val="000000"/>
                <w:sz w:val="24"/>
              </w:rPr>
              <w:t>学</w:t>
            </w:r>
            <w:r>
              <w:rPr>
                <w:b/>
                <w:color w:val="000000"/>
                <w:sz w:val="24"/>
              </w:rPr>
              <w:t>校</w:t>
            </w:r>
          </w:p>
        </w:tc>
        <w:tc>
          <w:tcPr>
            <w:tcW w:w="1275" w:type="dxa"/>
            <w:shd w:val="clear" w:color="auto" w:fill="CCCCCC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z w:val="24"/>
              </w:rPr>
              <w:t>II</w:t>
            </w:r>
            <w:r>
              <w:rPr>
                <w:b/>
                <w:color w:val="000000"/>
                <w:sz w:val="24"/>
              </w:rPr>
              <w:t>类</w:t>
            </w:r>
            <w:r>
              <w:rPr>
                <w:rFonts w:hint="eastAsia"/>
                <w:b/>
                <w:color w:val="000000"/>
                <w:sz w:val="24"/>
              </w:rPr>
              <w:t>学</w:t>
            </w:r>
            <w:r>
              <w:rPr>
                <w:b/>
                <w:color w:val="000000"/>
                <w:sz w:val="24"/>
              </w:rPr>
              <w:t>校</w:t>
            </w:r>
          </w:p>
        </w:tc>
        <w:tc>
          <w:tcPr>
            <w:tcW w:w="1439" w:type="dxa"/>
            <w:shd w:val="clear" w:color="auto" w:fill="CCCCCC"/>
          </w:tcPr>
          <w:p w:rsidR="00D81C98" w:rsidRDefault="00D81C98" w:rsidP="0067086F">
            <w:pPr>
              <w:spacing w:line="56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z w:val="24"/>
              </w:rPr>
              <w:t>III</w:t>
            </w:r>
            <w:r>
              <w:rPr>
                <w:b/>
                <w:color w:val="000000"/>
                <w:sz w:val="24"/>
              </w:rPr>
              <w:t>类</w:t>
            </w:r>
            <w:r>
              <w:rPr>
                <w:rFonts w:hint="eastAsia"/>
                <w:b/>
                <w:color w:val="000000"/>
                <w:sz w:val="24"/>
              </w:rPr>
              <w:t>学</w:t>
            </w:r>
            <w:r>
              <w:rPr>
                <w:b/>
                <w:color w:val="000000"/>
                <w:sz w:val="24"/>
              </w:rPr>
              <w:t>校</w:t>
            </w:r>
          </w:p>
        </w:tc>
      </w:tr>
      <w:tr w:rsidR="00D81C98" w:rsidTr="0067086F">
        <w:trPr>
          <w:trHeight w:val="403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01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校务管理类</w:t>
            </w: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z w:val="24"/>
              </w:rPr>
              <w:t>办公与事务处理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5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公文与信息交换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77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(03)</w:t>
            </w:r>
            <w:r>
              <w:rPr>
                <w:sz w:val="24"/>
              </w:rPr>
              <w:t>人事管理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7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(04)</w:t>
            </w:r>
            <w:r>
              <w:rPr>
                <w:sz w:val="24"/>
              </w:rPr>
              <w:t>财务管理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1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(05)</w:t>
            </w:r>
            <w:r>
              <w:rPr>
                <w:sz w:val="24"/>
              </w:rPr>
              <w:t>资产管理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45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(06)</w:t>
            </w:r>
            <w:r>
              <w:rPr>
                <w:sz w:val="24"/>
              </w:rPr>
              <w:t>后勤管理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3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(07)</w:t>
            </w:r>
            <w:r>
              <w:rPr>
                <w:sz w:val="24"/>
              </w:rPr>
              <w:t>学生教育工作管理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823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  <w:vAlign w:val="center"/>
          </w:tcPr>
          <w:p w:rsidR="00D81C98" w:rsidRDefault="00D81C98" w:rsidP="0067086F">
            <w:pPr>
              <w:rPr>
                <w:sz w:val="24"/>
              </w:rPr>
            </w:pPr>
            <w:r>
              <w:rPr>
                <w:sz w:val="24"/>
              </w:rPr>
              <w:t>(08)</w:t>
            </w:r>
            <w:r>
              <w:rPr>
                <w:sz w:val="24"/>
              </w:rPr>
              <w:t>学生体质健康数据管理</w:t>
            </w:r>
          </w:p>
        </w:tc>
        <w:tc>
          <w:tcPr>
            <w:tcW w:w="1582" w:type="dxa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  <w:vAlign w:val="center"/>
          </w:tcPr>
          <w:p w:rsidR="00D81C98" w:rsidRDefault="00D81C98" w:rsidP="0067086F">
            <w:pPr>
              <w:widowControl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42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(09)</w:t>
            </w:r>
            <w:r>
              <w:rPr>
                <w:sz w:val="24"/>
              </w:rPr>
              <w:t>档案管理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78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(10)</w:t>
            </w:r>
            <w:r>
              <w:rPr>
                <w:sz w:val="24"/>
              </w:rPr>
              <w:t>党务管理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45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02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教学科研类</w:t>
            </w: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(01)</w:t>
            </w:r>
            <w:r>
              <w:rPr>
                <w:sz w:val="24"/>
              </w:rPr>
              <w:t>教学改革管理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3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学科、专业管理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61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(03)</w:t>
            </w:r>
            <w:r>
              <w:rPr>
                <w:sz w:val="24"/>
              </w:rPr>
              <w:t>教务教学管理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4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(04)</w:t>
            </w:r>
            <w:r>
              <w:rPr>
                <w:sz w:val="24"/>
              </w:rPr>
              <w:t>教学资源管理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63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(05)</w:t>
            </w:r>
            <w:r>
              <w:rPr>
                <w:sz w:val="24"/>
              </w:rPr>
              <w:t>教学质量评估与保障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7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(06)</w:t>
            </w:r>
            <w:r>
              <w:rPr>
                <w:sz w:val="24"/>
              </w:rPr>
              <w:t>科研管理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9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(07)</w:t>
            </w:r>
            <w:r>
              <w:rPr>
                <w:sz w:val="24"/>
              </w:rPr>
              <w:t>科研情报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8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03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招生就业类</w:t>
            </w: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z w:val="24"/>
              </w:rPr>
              <w:t>招生</w:t>
            </w:r>
            <w:r>
              <w:rPr>
                <w:rFonts w:hint="eastAsia"/>
                <w:sz w:val="24"/>
              </w:rPr>
              <w:t>录取</w:t>
            </w:r>
            <w:r>
              <w:rPr>
                <w:sz w:val="24"/>
              </w:rPr>
              <w:t>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439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学生就业管理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62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04</w:t>
            </w:r>
            <w:r>
              <w:rPr>
                <w:sz w:val="24"/>
              </w:rPr>
              <w:t>）</w:t>
            </w:r>
          </w:p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综合服务类</w:t>
            </w: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(01)</w:t>
            </w:r>
            <w:r>
              <w:rPr>
                <w:sz w:val="24"/>
              </w:rPr>
              <w:t>门户网站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70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(02)</w:t>
            </w:r>
            <w:r>
              <w:rPr>
                <w:sz w:val="24"/>
              </w:rPr>
              <w:t>论坛、社区类网站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0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(03)</w:t>
            </w:r>
            <w:r>
              <w:rPr>
                <w:sz w:val="24"/>
              </w:rPr>
              <w:t>数字图书馆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8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(04)</w:t>
            </w:r>
            <w:r>
              <w:rPr>
                <w:sz w:val="24"/>
              </w:rPr>
              <w:t>电子邮件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2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(05)</w:t>
            </w:r>
            <w:r>
              <w:rPr>
                <w:sz w:val="24"/>
              </w:rPr>
              <w:t>视频服务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46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(06</w:t>
            </w:r>
            <w:r>
              <w:rPr>
                <w:sz w:val="24"/>
              </w:rPr>
              <w:t>安防监控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397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(07)</w:t>
            </w:r>
            <w:r>
              <w:rPr>
                <w:sz w:val="24"/>
              </w:rPr>
              <w:t>校园一卡通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第三级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89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(08)</w:t>
            </w:r>
            <w:r>
              <w:rPr>
                <w:sz w:val="24"/>
              </w:rPr>
              <w:t>内网门户与身份认证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55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(09)</w:t>
            </w:r>
            <w:r>
              <w:rPr>
                <w:sz w:val="24"/>
              </w:rPr>
              <w:t>公共数据库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  <w:tr w:rsidR="00D81C98" w:rsidTr="0067086F">
        <w:trPr>
          <w:trHeight w:val="563"/>
          <w:jc w:val="center"/>
        </w:trPr>
        <w:tc>
          <w:tcPr>
            <w:tcW w:w="473" w:type="dxa"/>
          </w:tcPr>
          <w:p w:rsidR="00D81C98" w:rsidRDefault="00D81C98" w:rsidP="00D81C98">
            <w:pPr>
              <w:numPr>
                <w:ilvl w:val="0"/>
                <w:numId w:val="3"/>
              </w:num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D81C98" w:rsidRDefault="00D81C98" w:rsidP="0067086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54" w:type="dxa"/>
          </w:tcPr>
          <w:p w:rsidR="00D81C98" w:rsidRDefault="00D81C98" w:rsidP="0067086F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(10)</w:t>
            </w:r>
            <w:r>
              <w:rPr>
                <w:sz w:val="24"/>
              </w:rPr>
              <w:t>运维管理</w:t>
            </w:r>
          </w:p>
        </w:tc>
        <w:tc>
          <w:tcPr>
            <w:tcW w:w="1582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275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第二级</w:t>
            </w:r>
          </w:p>
        </w:tc>
        <w:tc>
          <w:tcPr>
            <w:tcW w:w="1439" w:type="dxa"/>
          </w:tcPr>
          <w:p w:rsidR="00D81C98" w:rsidRDefault="00D81C98" w:rsidP="0067086F">
            <w:pPr>
              <w:widowControl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</w:p>
        </w:tc>
      </w:tr>
    </w:tbl>
    <w:p w:rsidR="00597F60" w:rsidRDefault="00597F60"/>
    <w:sectPr w:rsidR="00597F60" w:rsidSect="0059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BFC"/>
    <w:multiLevelType w:val="multilevel"/>
    <w:tmpl w:val="7D9A1E32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876A93"/>
    <w:multiLevelType w:val="multilevel"/>
    <w:tmpl w:val="D0C25E4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1F1B1D"/>
    <w:multiLevelType w:val="multilevel"/>
    <w:tmpl w:val="691F1B1D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eastAsia="Arial Unicode MS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C98"/>
    <w:rsid w:val="00597F60"/>
    <w:rsid w:val="00D8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9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D81C98"/>
    <w:pPr>
      <w:keepNext/>
      <w:keepLines/>
      <w:numPr>
        <w:numId w:val="1"/>
      </w:numPr>
      <w:spacing w:before="240" w:line="360" w:lineRule="auto"/>
      <w:outlineLvl w:val="0"/>
    </w:pPr>
    <w:rPr>
      <w:rFonts w:eastAsia="黑体"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D81C98"/>
    <w:pPr>
      <w:keepNext/>
      <w:keepLines/>
      <w:numPr>
        <w:ilvl w:val="1"/>
        <w:numId w:val="1"/>
      </w:numPr>
      <w:spacing w:before="240" w:line="360" w:lineRule="auto"/>
      <w:outlineLvl w:val="1"/>
    </w:pPr>
    <w:rPr>
      <w:rFonts w:eastAsia="黑体"/>
      <w:kern w:val="0"/>
      <w:sz w:val="28"/>
      <w:szCs w:val="32"/>
    </w:rPr>
  </w:style>
  <w:style w:type="paragraph" w:styleId="3">
    <w:name w:val="heading 3"/>
    <w:basedOn w:val="a"/>
    <w:next w:val="a"/>
    <w:link w:val="3Char1"/>
    <w:qFormat/>
    <w:rsid w:val="00D81C98"/>
    <w:pPr>
      <w:keepNext/>
      <w:keepLines/>
      <w:numPr>
        <w:ilvl w:val="2"/>
        <w:numId w:val="1"/>
      </w:numPr>
      <w:spacing w:line="415" w:lineRule="auto"/>
      <w:outlineLvl w:val="2"/>
    </w:pPr>
    <w:rPr>
      <w:rFonts w:ascii="黑体" w:eastAsia="黑体" w:hAnsi="黑体"/>
      <w:b/>
      <w:bCs/>
      <w:kern w:val="0"/>
      <w:sz w:val="28"/>
      <w:szCs w:val="32"/>
    </w:rPr>
  </w:style>
  <w:style w:type="paragraph" w:styleId="4">
    <w:name w:val="heading 4"/>
    <w:basedOn w:val="a"/>
    <w:next w:val="a"/>
    <w:link w:val="4Char"/>
    <w:qFormat/>
    <w:rsid w:val="00D81C98"/>
    <w:pPr>
      <w:keepNext/>
      <w:keepLines/>
      <w:numPr>
        <w:ilvl w:val="3"/>
        <w:numId w:val="1"/>
      </w:numPr>
      <w:spacing w:line="374" w:lineRule="auto"/>
      <w:outlineLvl w:val="3"/>
    </w:pPr>
    <w:rPr>
      <w:rFonts w:ascii="Arial" w:eastAsia="黑体" w:hAnsi="Arial"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D81C98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bCs/>
      <w:kern w:val="0"/>
      <w:sz w:val="30"/>
      <w:szCs w:val="28"/>
    </w:rPr>
  </w:style>
  <w:style w:type="paragraph" w:styleId="6">
    <w:name w:val="heading 6"/>
    <w:basedOn w:val="a"/>
    <w:next w:val="a"/>
    <w:link w:val="6Char"/>
    <w:qFormat/>
    <w:rsid w:val="00D81C98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D81C98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bCs/>
      <w:kern w:val="0"/>
      <w:sz w:val="28"/>
      <w:szCs w:val="24"/>
    </w:rPr>
  </w:style>
  <w:style w:type="paragraph" w:styleId="8">
    <w:name w:val="heading 8"/>
    <w:basedOn w:val="a"/>
    <w:next w:val="a"/>
    <w:link w:val="8Char"/>
    <w:qFormat/>
    <w:rsid w:val="00D81C98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D81C98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Cambria" w:hAnsi="Cambria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81C98"/>
    <w:rPr>
      <w:rFonts w:ascii="Times New Roman" w:eastAsia="黑体" w:hAnsi="Times New Roman" w:cs="Times New Roman"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D81C98"/>
    <w:rPr>
      <w:rFonts w:ascii="Times New Roman" w:eastAsia="黑体" w:hAnsi="Times New Roman" w:cs="Times New Roman"/>
      <w:kern w:val="0"/>
      <w:sz w:val="28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D81C9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D81C98"/>
    <w:rPr>
      <w:rFonts w:ascii="Arial" w:eastAsia="黑体" w:hAnsi="Arial" w:cs="Times New Roman"/>
      <w:kern w:val="0"/>
      <w:sz w:val="28"/>
      <w:szCs w:val="28"/>
    </w:rPr>
  </w:style>
  <w:style w:type="character" w:customStyle="1" w:styleId="5Char">
    <w:name w:val="标题 5 Char"/>
    <w:basedOn w:val="a0"/>
    <w:link w:val="5"/>
    <w:rsid w:val="00D81C98"/>
    <w:rPr>
      <w:rFonts w:ascii="Times New Roman" w:eastAsia="宋体" w:hAnsi="Times New Roman" w:cs="Times New Roman"/>
      <w:b/>
      <w:bCs/>
      <w:kern w:val="0"/>
      <w:sz w:val="30"/>
      <w:szCs w:val="28"/>
    </w:rPr>
  </w:style>
  <w:style w:type="character" w:customStyle="1" w:styleId="6Char">
    <w:name w:val="标题 6 Char"/>
    <w:basedOn w:val="a0"/>
    <w:link w:val="6"/>
    <w:rsid w:val="00D81C98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D81C98"/>
    <w:rPr>
      <w:rFonts w:ascii="Times New Roman" w:eastAsia="宋体" w:hAnsi="Times New Roman" w:cs="Times New Roman"/>
      <w:b/>
      <w:bCs/>
      <w:kern w:val="0"/>
      <w:sz w:val="28"/>
      <w:szCs w:val="24"/>
    </w:rPr>
  </w:style>
  <w:style w:type="character" w:customStyle="1" w:styleId="8Char">
    <w:name w:val="标题 8 Char"/>
    <w:basedOn w:val="a0"/>
    <w:link w:val="8"/>
    <w:rsid w:val="00D81C98"/>
    <w:rPr>
      <w:rFonts w:ascii="Cambria" w:eastAsia="宋体" w:hAnsi="Cambria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D81C98"/>
    <w:rPr>
      <w:rFonts w:ascii="Cambria" w:eastAsia="宋体" w:hAnsi="Cambria" w:cs="Times New Roman"/>
      <w:kern w:val="0"/>
      <w:sz w:val="20"/>
      <w:szCs w:val="21"/>
    </w:rPr>
  </w:style>
  <w:style w:type="character" w:customStyle="1" w:styleId="3Char1">
    <w:name w:val="标题 3 Char1"/>
    <w:link w:val="3"/>
    <w:locked/>
    <w:rsid w:val="00D81C98"/>
    <w:rPr>
      <w:rFonts w:ascii="黑体" w:eastAsia="黑体" w:hAnsi="黑体" w:cs="Times New Roman"/>
      <w:b/>
      <w:bCs/>
      <w:kern w:val="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2019-12-25T11:35:00Z</dcterms:created>
  <dcterms:modified xsi:type="dcterms:W3CDTF">2019-12-25T11:36:00Z</dcterms:modified>
</cp:coreProperties>
</file>